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Physics 190 Spring Write-Up</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quarter, I continued working with data from the GASKAP-HI telescope in Australia, and investigated new data cubes from the Large Magellanic Cloud and Magellanic Bridge, while also tying together loose ends with my research on the Small Magellanic Cloud. My research this quarter sought to answer the following: </w:t>
      </w:r>
      <w:r w:rsidDel="00000000" w:rsidR="00000000" w:rsidRPr="00000000">
        <w:rPr>
          <w:rFonts w:ascii="Times New Roman" w:cs="Times New Roman" w:eastAsia="Times New Roman" w:hAnsi="Times New Roman"/>
          <w:b w:val="1"/>
          <w:sz w:val="24"/>
          <w:szCs w:val="24"/>
          <w:rtl w:val="0"/>
        </w:rPr>
        <w:t xml:space="preserve">how are the HI and H2 in the Large Magellanic Cloud and Magellanic Bridge structured, and how does this compare to what we’ve seen with the structures in the Small Magellanic Cloud? </w:t>
      </w:r>
    </w:p>
    <w:p w:rsidR="00000000" w:rsidDel="00000000" w:rsidP="00000000" w:rsidRDefault="00000000" w:rsidRPr="00000000" w14:paraId="0000000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began answering this question by wrapping up my investigation with the SMC, and creating plots of the HI versus H2 column density over a range of velocities. Unsurprisingly, there was a positive correlation between the two.</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685800</wp:posOffset>
            </wp:positionV>
            <wp:extent cx="2709420" cy="1885169"/>
            <wp:effectExtent b="12700" l="12700" r="12700" t="12700"/>
            <wp:wrapNone/>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709420" cy="1885169"/>
                    </a:xfrm>
                    <a:prstGeom prst="rect"/>
                    <a:ln w="12700">
                      <a:solidFill>
                        <a:srgbClr val="999999"/>
                      </a:solidFill>
                      <a:prstDash val="solid"/>
                    </a:ln>
                  </pic:spPr>
                </pic:pic>
              </a:graphicData>
            </a:graphic>
          </wp:anchor>
        </w:drawing>
      </w:r>
    </w:p>
    <w:p w:rsidR="00000000" w:rsidDel="00000000" w:rsidP="00000000" w:rsidRDefault="00000000" w:rsidRPr="00000000" w14:paraId="0000000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then opened up a cube from the Magellanic Bridge, and noticed that 1) most structure for the Magellanic Bridge is at a greater velocity than that of the SMC, and 2) the structure is confined to a smaller range of velocities than that of the SMC. </w:t>
      </w:r>
    </w:p>
    <w:p w:rsidR="00000000" w:rsidDel="00000000" w:rsidP="00000000" w:rsidRDefault="00000000" w:rsidRPr="00000000" w14:paraId="00000014">
      <w:pPr>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180975</wp:posOffset>
            </wp:positionV>
            <wp:extent cx="2204861" cy="1905000"/>
            <wp:effectExtent b="12700" l="12700" r="12700" t="12700"/>
            <wp:wrapNone/>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204861" cy="1905000"/>
                    </a:xfrm>
                    <a:prstGeom prst="rect"/>
                    <a:ln w="12700">
                      <a:solidFill>
                        <a:srgbClr val="999999"/>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180975</wp:posOffset>
            </wp:positionV>
            <wp:extent cx="2103438" cy="1905000"/>
            <wp:effectExtent b="12700" l="12700" r="12700" t="12700"/>
            <wp:wrapNone/>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103438" cy="1905000"/>
                    </a:xfrm>
                    <a:prstGeom prst="rect"/>
                    <a:ln w="12700">
                      <a:solidFill>
                        <a:srgbClr val="999999"/>
                      </a:solidFill>
                      <a:prstDash val="solid"/>
                    </a:ln>
                  </pic:spPr>
                </pic:pic>
              </a:graphicData>
            </a:graphic>
          </wp:anchor>
        </w:drawing>
      </w:r>
    </w:p>
    <w:p w:rsidR="00000000" w:rsidDel="00000000" w:rsidP="00000000" w:rsidRDefault="00000000" w:rsidRPr="00000000" w14:paraId="0000001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F">
      <w:pPr>
        <w:ind w:left="288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Figures 2 and 3</w:t>
      </w:r>
    </w:p>
    <w:p w:rsidR="00000000" w:rsidDel="00000000" w:rsidP="00000000" w:rsidRDefault="00000000" w:rsidRPr="00000000" w14:paraId="0000002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bulk of my work, though, occurred as I learned more about the LMC using FUSE stars from that region; gas in the LMC has a very similar structure to that of the Magellanic Bridge, and occurs, peaks, and dissipates around the same velocities. In comparison with the SMC, though, </w:t>
      </w:r>
      <w:r w:rsidDel="00000000" w:rsidR="00000000" w:rsidRPr="00000000">
        <w:rPr>
          <w:rFonts w:ascii="Times New Roman" w:cs="Times New Roman" w:eastAsia="Times New Roman" w:hAnsi="Times New Roman"/>
          <w:sz w:val="24"/>
          <w:szCs w:val="24"/>
          <w:rtl w:val="0"/>
        </w:rPr>
        <w:t xml:space="preserve">LMC</w:t>
      </w:r>
      <w:r w:rsidDel="00000000" w:rsidR="00000000" w:rsidRPr="00000000">
        <w:rPr>
          <w:rFonts w:ascii="Times New Roman" w:cs="Times New Roman" w:eastAsia="Times New Roman" w:hAnsi="Times New Roman"/>
          <w:sz w:val="24"/>
          <w:szCs w:val="24"/>
          <w:rtl w:val="0"/>
        </w:rPr>
        <w:t xml:space="preserve"> hydrogen structure appears at greater velocities and within a smaller range of velocities.</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809625</wp:posOffset>
            </wp:positionV>
            <wp:extent cx="2333625" cy="1845359"/>
            <wp:effectExtent b="12700" l="12700" r="12700" t="12700"/>
            <wp:wrapNone/>
            <wp:docPr id="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333625" cy="1845359"/>
                    </a:xfrm>
                    <a:prstGeom prst="rect"/>
                    <a:ln w="12700">
                      <a:solidFill>
                        <a:srgbClr val="999999"/>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828675</wp:posOffset>
            </wp:positionV>
            <wp:extent cx="2370279" cy="1847850"/>
            <wp:effectExtent b="12700" l="12700" r="12700" t="12700"/>
            <wp:wrapNone/>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370279" cy="1847850"/>
                    </a:xfrm>
                    <a:prstGeom prst="rect"/>
                    <a:ln w="12700">
                      <a:solidFill>
                        <a:srgbClr val="999999"/>
                      </a:solidFill>
                      <a:prstDash val="solid"/>
                    </a:ln>
                  </pic:spPr>
                </pic:pic>
              </a:graphicData>
            </a:graphic>
          </wp:anchor>
        </w:drawing>
      </w:r>
    </w:p>
    <w:p w:rsidR="00000000" w:rsidDel="00000000" w:rsidP="00000000" w:rsidRDefault="00000000" w:rsidRPr="00000000" w14:paraId="0000002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36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Figures 4 and 5</w:t>
      </w:r>
    </w:p>
    <w:p w:rsidR="00000000" w:rsidDel="00000000" w:rsidP="00000000" w:rsidRDefault="00000000" w:rsidRPr="00000000" w14:paraId="0000002C">
      <w:pPr>
        <w:ind w:left="360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Around this time, I also drafted a </w:t>
      </w:r>
      <w:hyperlink r:id="rId11">
        <w:r w:rsidDel="00000000" w:rsidR="00000000" w:rsidRPr="00000000">
          <w:rPr>
            <w:rFonts w:ascii="Times New Roman" w:cs="Times New Roman" w:eastAsia="Times New Roman" w:hAnsi="Times New Roman"/>
            <w:color w:val="1155cc"/>
            <w:sz w:val="24"/>
            <w:szCs w:val="24"/>
            <w:u w:val="single"/>
            <w:rtl w:val="0"/>
          </w:rPr>
          <w:t xml:space="preserve">project proposal</w:t>
        </w:r>
      </w:hyperlink>
      <w:r w:rsidDel="00000000" w:rsidR="00000000" w:rsidRPr="00000000">
        <w:rPr>
          <w:rFonts w:ascii="Times New Roman" w:cs="Times New Roman" w:eastAsia="Times New Roman" w:hAnsi="Times New Roman"/>
          <w:sz w:val="24"/>
          <w:szCs w:val="24"/>
          <w:rtl w:val="0"/>
        </w:rPr>
        <w:t xml:space="preserve"> for the GASKAP-HI Filaments working group, detailing our plans for the data given to us. </w:t>
      </w:r>
    </w:p>
    <w:p w:rsidR="00000000" w:rsidDel="00000000" w:rsidP="00000000" w:rsidRDefault="00000000" w:rsidRPr="00000000" w14:paraId="0000002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then acquired data from the FUSE stars in the LMC, and plotted the relevant stars atop the LMC column density maps. (I say “relevant” because some of the stars were beyond the range of the data cube.)</w:t>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523875</wp:posOffset>
            </wp:positionV>
            <wp:extent cx="2844706" cy="2185932"/>
            <wp:effectExtent b="12700" l="12700" r="12700" t="12700"/>
            <wp:wrapNone/>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844706" cy="2185932"/>
                    </a:xfrm>
                    <a:prstGeom prst="rect"/>
                    <a:ln w="12700">
                      <a:solidFill>
                        <a:srgbClr val="999999"/>
                      </a:solidFill>
                      <a:prstDash val="solid"/>
                    </a:ln>
                  </pic:spPr>
                </pic:pic>
              </a:graphicData>
            </a:graphic>
          </wp:anchor>
        </w:drawing>
      </w:r>
    </w:p>
    <w:p w:rsidR="00000000" w:rsidDel="00000000" w:rsidP="00000000" w:rsidRDefault="00000000" w:rsidRPr="00000000" w14:paraId="0000003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w:t>
      </w:r>
    </w:p>
    <w:p w:rsidR="00000000" w:rsidDel="00000000" w:rsidP="00000000" w:rsidRDefault="00000000" w:rsidRPr="00000000" w14:paraId="0000003C">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Originally, when I created these plots—as was the case with my SMC data—they were flipped across the y-axis, with the right ascension increasing on the x-axis rather than decreasing. However, I later fixed this error to prevent this axis flip; the plot above is accurate.</w:t>
      </w:r>
    </w:p>
    <w:p w:rsidR="00000000" w:rsidDel="00000000" w:rsidP="00000000" w:rsidRDefault="00000000" w:rsidRPr="00000000" w14:paraId="0000003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last task of this quarter—and what proved to be the most difficult—was creating a plot comparing the HI versus H2 column densities. When I first tried, there were many outlier points in the various plots, so I had to remove those. Then I ran into an interesting result: there seemed to be little correlation between the HI and H2 in the Large Magellanic Cloud. There was a slight upwards positive correlation, but nowhere near the amount we’d expect, especially over ranges with an inordinate amount of structure. </w:t>
      </w:r>
    </w:p>
    <w:p w:rsidR="00000000" w:rsidDel="00000000" w:rsidP="00000000" w:rsidRDefault="00000000" w:rsidRPr="00000000" w14:paraId="0000004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these results were correct, I spent the rest of the quarter debugging by creating pixel plots with my current pixel values, so as to check whether these values were correct. Here I created an array of zeros and initialized the pixel locations to non-zero values. I ran into a few different issues here; since I originally used a colorbar that “wrapped around,” when I would change certain values in the array, I wasn’t able to see them in my final image. It all just appeared as one large square of monotonous purple! Eventually I fixed this and matched the pixel plot with the absorption line plots, verifying that my pixel values were indeed correct. (And I did this same verification with the SMC plots as well.)</w:t>
      </w:r>
      <w:r w:rsidDel="00000000" w:rsidR="00000000" w:rsidRPr="00000000">
        <w:drawing>
          <wp:anchor allowOverlap="1" behindDoc="0" distB="114300" distT="114300" distL="114300" distR="114300" hidden="0" layoutInCell="1" locked="0" relativeHeight="0" simplePos="0">
            <wp:simplePos x="0" y="0"/>
            <wp:positionH relativeFrom="column">
              <wp:posOffset>1795463</wp:posOffset>
            </wp:positionH>
            <wp:positionV relativeFrom="paragraph">
              <wp:posOffset>1695450</wp:posOffset>
            </wp:positionV>
            <wp:extent cx="2330862" cy="1889689"/>
            <wp:effectExtent b="12700" l="12700" r="12700" t="12700"/>
            <wp:wrapNone/>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330862" cy="1889689"/>
                    </a:xfrm>
                    <a:prstGeom prst="rect"/>
                    <a:ln w="12700">
                      <a:solidFill>
                        <a:srgbClr val="999999"/>
                      </a:solidFill>
                      <a:prstDash val="solid"/>
                    </a:ln>
                  </pic:spPr>
                </pic:pic>
              </a:graphicData>
            </a:graphic>
          </wp:anchor>
        </w:drawing>
      </w:r>
    </w:p>
    <w:p w:rsidR="00000000" w:rsidDel="00000000" w:rsidP="00000000" w:rsidRDefault="00000000" w:rsidRPr="00000000" w14:paraId="0000004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w:t>
      </w:r>
    </w:p>
    <w:p w:rsidR="00000000" w:rsidDel="00000000" w:rsidP="00000000" w:rsidRDefault="00000000" w:rsidRPr="00000000" w14:paraId="0000004D">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that said, here are my HI and H2 column density comparison plots: notice the odd lack of correlation! (Not to mention that there were also other outlier values originally on these plots.)</w:t>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476250</wp:posOffset>
            </wp:positionV>
            <wp:extent cx="2415095" cy="1946783"/>
            <wp:effectExtent b="12700" l="12700" r="12700" t="12700"/>
            <wp:wrapNone/>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415095" cy="1946783"/>
                    </a:xfrm>
                    <a:prstGeom prst="rect"/>
                    <a:ln w="12700">
                      <a:solidFill>
                        <a:srgbClr val="999999"/>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466725</wp:posOffset>
            </wp:positionV>
            <wp:extent cx="2410641" cy="1962150"/>
            <wp:effectExtent b="12700" l="12700" r="12700" t="12700"/>
            <wp:wrapNone/>
            <wp:docPr id="1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410641" cy="1962150"/>
                    </a:xfrm>
                    <a:prstGeom prst="rect"/>
                    <a:ln w="12700">
                      <a:solidFill>
                        <a:srgbClr val="999999"/>
                      </a:solidFill>
                      <a:prstDash val="solid"/>
                    </a:ln>
                  </pic:spPr>
                </pic:pic>
              </a:graphicData>
            </a:graphic>
          </wp:anchor>
        </w:drawing>
      </w:r>
    </w:p>
    <w:p w:rsidR="00000000" w:rsidDel="00000000" w:rsidP="00000000" w:rsidRDefault="00000000" w:rsidRPr="00000000" w14:paraId="0000004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ind w:lef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18"/>
          <w:szCs w:val="18"/>
          <w:rtl w:val="0"/>
        </w:rPr>
        <w:t xml:space="preserve">Figure 8 (over the entire range of velocities)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18"/>
          <w:szCs w:val="18"/>
          <w:rtl w:val="0"/>
        </w:rPr>
        <w:t xml:space="preserve">Figure 9 (over the range with the most structure!)</w:t>
      </w:r>
    </w:p>
    <w:p w:rsidR="00000000" w:rsidDel="00000000" w:rsidP="00000000" w:rsidRDefault="00000000" w:rsidRPr="00000000" w14:paraId="0000005A">
      <w:pPr>
        <w:ind w:left="0" w:firstLine="0"/>
        <w:jc w:val="left"/>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5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I also investigated the non-MW-foreground LMC cube, and it was very interesting seeing the FUSE stars structure amidst this structure.</w:t>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479264</wp:posOffset>
            </wp:positionV>
            <wp:extent cx="2390098" cy="1883862"/>
            <wp:effectExtent b="12700" l="12700" r="12700" t="12700"/>
            <wp:wrapNone/>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390098" cy="1883862"/>
                    </a:xfrm>
                    <a:prstGeom prst="rect"/>
                    <a:ln w="12700">
                      <a:solidFill>
                        <a:srgbClr val="999999"/>
                      </a:solidFill>
                      <a:prstDash val="solid"/>
                    </a:ln>
                  </pic:spPr>
                </pic:pic>
              </a:graphicData>
            </a:graphic>
          </wp:anchor>
        </w:drawing>
      </w:r>
    </w:p>
    <w:p w:rsidR="00000000" w:rsidDel="00000000" w:rsidP="00000000" w:rsidRDefault="00000000" w:rsidRPr="00000000" w14:paraId="0000005C">
      <w:pPr>
        <w:ind w:left="0" w:firstLine="0"/>
        <w:jc w:val="left"/>
        <w:rPr>
          <w:rFonts w:ascii="Times New Roman" w:cs="Times New Roman" w:eastAsia="Times New Roman" w:hAnsi="Times New Roman"/>
          <w:b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142875</wp:posOffset>
            </wp:positionV>
            <wp:extent cx="2170371" cy="1752600"/>
            <wp:effectExtent b="12700" l="12700" r="12700" t="12700"/>
            <wp:wrapNone/>
            <wp:docPr id="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170371" cy="1752600"/>
                    </a:xfrm>
                    <a:prstGeom prst="rect"/>
                    <a:ln w="12700">
                      <a:solidFill>
                        <a:srgbClr val="999999"/>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152400</wp:posOffset>
            </wp:positionV>
            <wp:extent cx="2218051" cy="1735299"/>
            <wp:effectExtent b="12700" l="12700" r="12700" t="12700"/>
            <wp:wrapNone/>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218051" cy="1735299"/>
                    </a:xfrm>
                    <a:prstGeom prst="rect"/>
                    <a:ln w="12700">
                      <a:solidFill>
                        <a:srgbClr val="999999"/>
                      </a:solidFill>
                      <a:prstDash val="solid"/>
                    </a:ln>
                  </pic:spPr>
                </pic:pic>
              </a:graphicData>
            </a:graphic>
          </wp:anchor>
        </w:drawing>
      </w:r>
    </w:p>
    <w:p w:rsidR="00000000" w:rsidDel="00000000" w:rsidP="00000000" w:rsidRDefault="00000000" w:rsidRPr="00000000" w14:paraId="0000005D">
      <w:pPr>
        <w:ind w:lef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E">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F">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0">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1">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2">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3">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4">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5">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6">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7">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8">
      <w:pPr>
        <w:ind w:lef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Figures 10, 11, and 12</w:t>
      </w:r>
    </w:p>
    <w:p w:rsidR="00000000" w:rsidDel="00000000" w:rsidP="00000000" w:rsidRDefault="00000000" w:rsidRPr="00000000" w14:paraId="0000006B">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beyond the information I learned about the structures in the SMC/MB/LMC, I learned much about how to analyze errors and synthesize the group’s research: I analyzed errors by double-checking my pixel values for both the SMC and LMC data, and synthesized our group’s research by drafting the project proposal. I’m happy because I feel as if I have a much stronger grasp on my research and the tools needed to conduct that research; my fluency in MatPlotLib, NumPy, Pandas, and other relevant packages has increased greatly. </w:t>
      </w:r>
    </w:p>
    <w:p w:rsidR="00000000" w:rsidDel="00000000" w:rsidP="00000000" w:rsidRDefault="00000000" w:rsidRPr="00000000" w14:paraId="0000006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analyzing the properties of these hydrogen filaments, my research provided new insights to regions where the diffuse gas has not been heavily explored, allowing us to compare the gas near these regions and see how it is structured both similarly and differently. Over the summer, I hope to expand upon this research and discover more—specifically about the lack of correlation between the HI and H2 in the LMC cube. </w:t>
      </w:r>
    </w:p>
    <w:p w:rsidR="00000000" w:rsidDel="00000000" w:rsidP="00000000" w:rsidRDefault="00000000" w:rsidRPr="00000000" w14:paraId="0000006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Estimated Time Spent Weekly: </w:t>
      </w:r>
      <w:r w:rsidDel="00000000" w:rsidR="00000000" w:rsidRPr="00000000">
        <w:rPr>
          <w:rFonts w:ascii="Times New Roman" w:cs="Times New Roman" w:eastAsia="Times New Roman" w:hAnsi="Times New Roman"/>
          <w:sz w:val="24"/>
          <w:szCs w:val="24"/>
          <w:rtl w:val="0"/>
        </w:rPr>
        <w:t xml:space="preserve">an average of 6 hours, both with debugging and exploring the properties (column density, etc) of the gas in these cubes.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ocs.google.com/document/d/1WRwpz8DmB40yD1lXW-mZDRmzMX9y0E3b6wdWkBAWJ3I/edit?usp=sharing" TargetMode="External"/><Relationship Id="rId10" Type="http://schemas.openxmlformats.org/officeDocument/2006/relationships/image" Target="media/image11.png"/><Relationship Id="rId13" Type="http://schemas.openxmlformats.org/officeDocument/2006/relationships/image" Target="media/image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png"/><Relationship Id="rId18"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